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  <w:gridCol w:w="9400"/>
      </w:tblGrid>
      <w:tr w:rsidR="0035302A" w:rsidRPr="00CE319C" w:rsidTr="0035302A">
        <w:trPr>
          <w:trHeight w:val="340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Ziekte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van Alzheimer</w:t>
            </w:r>
          </w:p>
        </w:tc>
        <w:tc>
          <w:tcPr>
            <w:tcW w:w="94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CE319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AD: APP (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Amyloïd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precursor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ptoteïne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), Chr. </w:t>
            </w:r>
            <w:r w:rsidR="00CE319C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gain of function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gamasecretase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10%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erfelijk</w:t>
            </w:r>
            <w:proofErr w:type="spellEnd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 en</w:t>
            </w:r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 xml:space="preserve"> 90%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sporadisch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CE319C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AD: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preseniline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1 mutatie (30-40% van de gevallen) Chr. </w:t>
            </w:r>
            <w:r w:rsidR="00CE319C">
              <w:rPr>
                <w:rFonts w:ascii="Calibri" w:eastAsia="Times New Roman" w:hAnsi="Calibri" w:cs="Times New Roman"/>
                <w:color w:val="000000"/>
                <w:lang w:val="nl-BE"/>
              </w:rPr>
              <w:t>14</w:t>
            </w: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, puntmutatie,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gain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of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function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AD: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preseniline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2 (zeerzeldzaam)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analoogaan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PS-1 vermoedt men</w:t>
            </w:r>
          </w:p>
        </w:tc>
      </w:tr>
      <w:tr w:rsidR="0035302A" w:rsidRPr="0035302A" w:rsidTr="0035302A">
        <w:trPr>
          <w:trHeight w:val="9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susceptibiliteitsgenen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: 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ApoE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 op Chr.19 =&gt;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apoE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 en VLDL en HDL aanmaak,</w:t>
            </w:r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ε</w:t>
            </w:r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2,</w:t>
            </w:r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ε</w:t>
            </w:r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3 en </w:t>
            </w:r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ε</w:t>
            </w:r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4 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allelen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 met 4 codon(112 en 158: 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Arg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) als RF (3X 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>stijgingbijheterozyg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FF6600"/>
                <w:lang w:val="nl-BE"/>
              </w:rPr>
              <w:t xml:space="preserve"> en 8X bij homo op 75j. </w:t>
            </w:r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 xml:space="preserve">50% van het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risicosporadischeAlzh</w:t>
            </w:r>
            <w:proofErr w:type="spellEnd"/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.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Kleinererol</w:t>
            </w:r>
            <w:proofErr w:type="spellEnd"/>
            <w:r w:rsidRPr="0035302A">
              <w:rPr>
                <w:rFonts w:ascii="Calibri" w:eastAsia="Times New Roman" w:hAnsi="Calibri" w:cs="Times New Roman"/>
                <w:i/>
                <w:iCs/>
                <w:color w:val="FF6600"/>
                <w:lang w:val="en-US"/>
              </w:rPr>
              <w:t>: CLU, CR1, PICALM,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FTD (</w:t>
            </w: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frontotemporaledegeneratie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AD mutatie in MAPT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progranulinealsoorzaak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40% AD erfelijk en de rest sporadisch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Creutzveld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Jacob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10%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familialemutatie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(switch)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dat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AD is. Sticky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eiwttendatgaanklitten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=&gt;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prionen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Kanooksporadischoptreden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door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stochastischemutaties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Infectieusoverdraagbaar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: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zeerzeerzeldzaam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GerstmannStrausslerScheinkersyndroom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AD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aandoening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1-10/ 100 000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heel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belangrijkeklinischgegeven</w:t>
            </w:r>
            <w:proofErr w:type="spellEnd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..)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Ziekte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van Parkinson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Alfa-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synucleïnemutaties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: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dominanteovererving</w:t>
            </w:r>
            <w:proofErr w:type="spellEnd"/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5%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erflijk</w:t>
            </w:r>
            <w:proofErr w:type="spellEnd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 90-95%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sporadisch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LRRK2 mutaties=&gt;aantasting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Dardarine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recessiefpatroon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recessievevormenvaak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de oorzaak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juvenielparkinson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)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Parkine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gen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mutatie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: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recessief</w:t>
            </w:r>
            <w:proofErr w:type="spellEnd"/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Ziekte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van Huntington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Trinucleotide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(CAG)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repeatexpansie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Huntingtineeiwitchromosoom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4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exon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1: Dominant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GoFmutatie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Bij 30 à 40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is het pathologisch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nl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: 4-10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)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100%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familiaal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Ziekte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van Wilson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Autosomaalrecessieveziekte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(loss of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function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): gen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datcodeertvooreen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AAA eiwit =&gt;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hepatolenticulairedegeneratie</w:t>
            </w:r>
            <w:proofErr w:type="spellEnd"/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Dystonia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musculorumdeformans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Veralgemeendedystoniedatdeeluitmaakt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de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niet-degeneratievebewegingsziekten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: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kanautosomaal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dominant of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recessiefzijn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Gilles de la </w:t>
            </w: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tourette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Nietgoedbegrepen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maar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zowelpaternelealsmaternele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factor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Essentiële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tremor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Meestalfamilialeovererving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op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autosomaaldominantewijze</w:t>
            </w:r>
            <w:proofErr w:type="spellEnd"/>
          </w:p>
        </w:tc>
      </w:tr>
      <w:tr w:rsidR="0035302A" w:rsidRPr="0035302A" w:rsidTr="0035302A">
        <w:trPr>
          <w:trHeight w:val="12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Spinocerebellaireataxie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van </w:t>
            </w: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Friedreich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CE319C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AutosomaalrecessieveaandoneingChromosoom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9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trinucleotide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E319C">
              <w:rPr>
                <w:rFonts w:ascii="Calibri" w:eastAsia="Times New Roman" w:hAnsi="Calibri" w:cs="Times New Roman"/>
                <w:color w:val="000000"/>
                <w:lang w:val="nl-BE"/>
              </w:rPr>
              <w:t>GAA</w:t>
            </w: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 een intron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frataxineeiwit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(Loss of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function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het eiwit: heel deel van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eiwitwordtnietmeeraangemaakt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)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datvooral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 de dorsale root van het RM voorkomt en ook het hart en de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beta-cellen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de pancreas</w:t>
            </w:r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Spinocerebellairatrofiebij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volwassene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Tertra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nucleotide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mutatie in een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exon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(het is een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ziekte) maar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kanooksporadischvoorkomen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Amyotrofischelateralesclerose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FUS/TLS puntmutatie=&gt; dominant ALS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10%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erfelijk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TDP-43 puntmutatie=&gt;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dominnat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ALS en FTD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Chr. 9 p.21 ORF-72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hexanucleotide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repeat expansion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geeftAutosomaal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dominant FTD &amp; ALS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SOD-1 gen=&gt;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puntmutatie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: dominant gain of function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mutatie</w:t>
            </w:r>
            <w:proofErr w:type="spellEnd"/>
          </w:p>
        </w:tc>
      </w:tr>
      <w:tr w:rsidR="0035302A" w:rsidRPr="0035302A" w:rsidTr="0035302A">
        <w:trPr>
          <w:trHeight w:val="12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Spinomusculaireatrofie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(SMA)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Autosomaalrecessieveaandoening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: Loss of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function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:komt in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verschillendevormenvoor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Chr5q in het SMN, men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heefteenhomozygoedeletienodig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Ernst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wordtvooralbepaald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door de al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dannietaanwezigheid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naburigecompenserende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SMA-achtigegenen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</w:t>
            </w: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1/60 is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drager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van de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mutatie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!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  <w:t xml:space="preserve">Ziekte van 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  <w:t>Werdnig-Hoffmann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  <w:t>/ SMA type I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2e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meestvoorkomendevorm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van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genetischbepaaldezuigleingensterfte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  <w:t xml:space="preserve">Ziekte van </w:t>
            </w:r>
            <w:proofErr w:type="spellStart"/>
            <w:r w:rsidRPr="00CE319C"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  <w:t>Werdnig-Hoffmann</w:t>
            </w:r>
            <w:proofErr w:type="spellEnd"/>
            <w:r w:rsidRPr="00CE319C">
              <w:rPr>
                <w:rFonts w:ascii="Calibri" w:eastAsia="Times New Roman" w:hAnsi="Calibri" w:cs="Times New Roman"/>
                <w:i/>
                <w:iCs/>
                <w:color w:val="000000"/>
                <w:lang w:val="nl-BE"/>
              </w:rPr>
              <w:t>/ SMA type II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Chronischevorm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de ziekte,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kinderenoverlevenwatlanger</w:t>
            </w:r>
            <w:proofErr w:type="spellEnd"/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Ziekte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Kugelberg-Welander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/SMA type III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Tweedelevensdecadebegint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 bekken-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bovenbeenspeiren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daarnaschouder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en bovenarmspieren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SMA type IV 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Bijvolwassenenbeginnend</w:t>
            </w:r>
            <w:proofErr w:type="spellEnd"/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nl-BE"/>
              </w:rPr>
              <w:t xml:space="preserve">Ziekte van </w:t>
            </w:r>
            <w:proofErr w:type="spellStart"/>
            <w:r w:rsidRPr="00CE3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nl-BE"/>
              </w:rPr>
              <w:t>Strumpell-Lorraine</w:t>
            </w:r>
            <w:proofErr w:type="spellEnd"/>
            <w:r w:rsidRPr="00CE3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nl-BE"/>
              </w:rPr>
              <w:t xml:space="preserve"> (</w:t>
            </w:r>
            <w:proofErr w:type="spellStart"/>
            <w:r w:rsidRPr="00CE3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nl-BE"/>
              </w:rPr>
              <w:t>familialespastischeparese</w:t>
            </w:r>
            <w:proofErr w:type="spellEnd"/>
            <w:r w:rsidRPr="00CE3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nl-BE"/>
              </w:rPr>
              <w:t>)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Autosomaaldominanteaandeoningthv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spastine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gen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velegenengekend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)</w:t>
            </w:r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Migraine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CACNA1A-gen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voltage-geactiveerdecalciumkanaal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) puntmutatie: AD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monogenisch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=&gt;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kunnenleiden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tot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familialehemiplege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migraine</w:t>
            </w:r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ZZ </w:t>
            </w:r>
            <w:proofErr w:type="spellStart"/>
            <w:r w:rsidRPr="0035302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monogenischeaandoeningen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Na/K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ATPase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gen: AD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dominantepuntmutatie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=&gt;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kunnenleiden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tot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familialehemiplege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migraine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Chromosoom 2=&gt;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neuronaalnatriumkanaal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SCNA1 geïmpliceerd in epilepsie</w:t>
            </w:r>
          </w:p>
        </w:tc>
      </w:tr>
      <w:tr w:rsidR="0035302A" w:rsidRPr="0035302A" w:rsidTr="0035302A">
        <w:trPr>
          <w:trHeight w:val="9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lastRenderedPageBreak/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KCNK18 gen: gen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datcodeertvoor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het TRESK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TWIK-related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spinal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cord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potassium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channel) K+ kanaal door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calcineurine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via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gestegenintracellulairecalciumconcentratiesgestimuleerd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Klassieke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migraine met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arua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 w:rsidRPr="003530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  <w:t xml:space="preserve"> nonsense </w:t>
            </w: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  <w:t>mutaties</w:t>
            </w: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in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het gen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Inflammatoireaandoeingen</w:t>
            </w:r>
            <w:proofErr w:type="spellEnd"/>
            <w:r w:rsidRPr="003530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van ZS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302A" w:rsidRPr="0035302A" w:rsidTr="0035302A">
        <w:trPr>
          <w:trHeight w:val="12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Creutzfeldt-Jakob disease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Autosomaaldominanteovererving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 de familialevorm =&gt;mutatie in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Prp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gen =&gt;overgang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PrPcnaarPrPcjd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kanooksporadischoptreden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, meeste van de gevallen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hiergelinkt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met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erflijkegevoeligheidbij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homozygote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patiënten met codon 129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Prp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(met/met of val/val)=&gt;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meervatbaar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Multipelesclerose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IL7R- en IL2R= genen.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Ookpolymorfismen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 de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HLA-regio's</w:t>
            </w:r>
            <w:proofErr w:type="spellEnd"/>
          </w:p>
        </w:tc>
      </w:tr>
      <w:tr w:rsidR="0035302A" w:rsidRPr="0035302A" w:rsidTr="0035302A">
        <w:trPr>
          <w:trHeight w:val="6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Optischeneuropahtie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van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Leber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Mitochondrialepuntmutatiesdat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tot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erflijkacuut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/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subacuteverlies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centraalgezichtsveldleidt</w:t>
            </w:r>
            <w:proofErr w:type="spellEnd"/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HNPP: hereditary neuropathy with pressure palsies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Autosomaaldominantegevoeligheidvoorzenuwaantasting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door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compressie</w:t>
            </w:r>
            <w:proofErr w:type="spellEnd"/>
          </w:p>
        </w:tc>
      </w:tr>
      <w:tr w:rsidR="0035302A" w:rsidRPr="0035302A" w:rsidTr="0035302A">
        <w:trPr>
          <w:trHeight w:val="15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CMT: Charcot-Marie-Tooth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AD, AR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X-gebondenverianten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CMT1(80% van de gevallen=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demyeliniserendevorm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door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schwanncelfout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) door duplicatie op chromosoom 17 waar PMP22 gen ligt ( eiwit van belang in myeline) bijdeletie van de gen is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erhereditaireneuropathie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gevoleigheidaandruk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ziemononeuropathie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). </w:t>
            </w: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CMT2 is de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axonalevorm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komtvoorbij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20%.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Erzijnookovergangsvormen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</w:tr>
      <w:tr w:rsidR="0035302A" w:rsidRPr="0035302A" w:rsidTr="0035302A">
        <w:trPr>
          <w:trHeight w:val="12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DMD: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Duchennemusculairedystrofie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X-gebondenspierziekte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dystrofineeiwit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subsarcolemmaaleiwitstructuur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de spiervezel) 2/3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ptnhebbeneendeletie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en 1/3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eenpuntmutatie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Manifesting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carriers door 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geskewdelionisatie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Enstigevormen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door out of frame deleties.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Beperktevormen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door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in-frame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deleties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evtziekte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becker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)</w:t>
            </w:r>
          </w:p>
        </w:tc>
      </w:tr>
      <w:tr w:rsidR="0035302A" w:rsidRPr="0035302A" w:rsidTr="0035302A">
        <w:trPr>
          <w:trHeight w:val="18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DM: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myotonedystrofie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van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Steinert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CE319C" w:rsidRDefault="0035302A" w:rsidP="0035302A">
            <w:pPr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AD aandoening met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zeerwisselendepenetratie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90%: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trinucleotidenrepeatexpansie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(CTG) in het 3`uiteinde van DMPK (DM proteïne kinase) op chromo 19 met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vooraleenmaterneleanticipatie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expansie in de eicellen). Hoe langer de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hoe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makkelijkerandere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mRNA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eraangaanbinden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en op die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manierstoornissengaanontstaandoor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 foutieve RNA processing. (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Troponine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=hart,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Insuline-R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= diabetes 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Cl-kanaal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=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relaxatiemyotonie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10% van de gevallen is het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eentetranucleotide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en een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zinc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vinger die de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ziekteveroorzaakt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.</w:t>
            </w:r>
          </w:p>
        </w:tc>
      </w:tr>
      <w:tr w:rsidR="0035302A" w:rsidRPr="0035302A" w:rsidTr="0035302A">
        <w:trPr>
          <w:trHeight w:val="9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 xml:space="preserve">FSHD: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facioscapulohumeraledystrofie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AD spieraandoening: Chromosoom 4q35 met in de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subtelomerischeregioeenreductie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van een reeks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(de D4Z4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) normaal 11 tot 100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maar bij FSHD zijner maar 1 tot 10 </w:t>
            </w:r>
            <w:proofErr w:type="spellStart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>repeats</w:t>
            </w:r>
            <w:proofErr w:type="spellEnd"/>
            <w:r w:rsidRPr="00CE31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. </w:t>
            </w: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En de rest op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pagina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88 snap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iknietdus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fuck it..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Ziekte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van Mc Ardle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Erfelijkezuremaltasedeficientiedat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nu door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enzymesubstitutiekanbehandeldworden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</w:tr>
      <w:tr w:rsidR="0035302A" w:rsidRPr="0035302A" w:rsidTr="0035302A">
        <w:trPr>
          <w:trHeight w:val="3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OPMD: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oculopharyngealemusculairedystrofie</w:t>
            </w:r>
            <w:proofErr w:type="spellEnd"/>
          </w:p>
        </w:tc>
        <w:tc>
          <w:tcPr>
            <w:tcW w:w="9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5302A" w:rsidRPr="0035302A" w:rsidRDefault="0035302A" w:rsidP="0035302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AD door 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een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N-</w:t>
            </w:r>
            <w:proofErr w:type="spellStart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>terminale</w:t>
            </w:r>
            <w:proofErr w:type="spellEnd"/>
            <w:r w:rsidRPr="00353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repeat (GCG= alanine) in PABN1</w:t>
            </w:r>
          </w:p>
        </w:tc>
      </w:tr>
    </w:tbl>
    <w:p w:rsidR="00476FAD" w:rsidRDefault="00476FAD" w:rsidP="0035302A">
      <w:pPr>
        <w:jc w:val="both"/>
      </w:pPr>
      <w:bookmarkStart w:id="0" w:name="_GoBack"/>
      <w:bookmarkEnd w:id="0"/>
    </w:p>
    <w:sectPr w:rsidR="00476FAD" w:rsidSect="0035302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5302A"/>
    <w:rsid w:val="0035302A"/>
    <w:rsid w:val="00476FAD"/>
    <w:rsid w:val="00CE319C"/>
    <w:rsid w:val="00E27150"/>
    <w:rsid w:val="00FD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3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943</Words>
  <Characters>5376</Characters>
  <Application>Microsoft Office Word</Application>
  <DocSecurity>0</DocSecurity>
  <Lines>44</Lines>
  <Paragraphs>12</Paragraphs>
  <ScaleCrop>false</ScaleCrop>
  <Company>KULeuven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Leclercq</dc:creator>
  <cp:keywords/>
  <dc:description/>
  <cp:lastModifiedBy>Michiel Schils</cp:lastModifiedBy>
  <cp:revision>3</cp:revision>
  <dcterms:created xsi:type="dcterms:W3CDTF">2012-01-26T13:43:00Z</dcterms:created>
  <dcterms:modified xsi:type="dcterms:W3CDTF">2013-01-07T11:14:00Z</dcterms:modified>
</cp:coreProperties>
</file>